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Ishwar Chandra Vidyasagar and His Reforms: A Critical Approach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spacing w:after="240" w:before="240" w:line="28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Department of History</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23.02.2023</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12.30 pm—1.45 pm</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History Room 15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Resource Person/s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 Designation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Pritha Lahiri, Associate Professor, Department of History, APC College, New Barrackpore, North 24 Parganas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the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Brief Description of the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lecture emphasized the nuanced approach of the reform agenda of Vidyasagar. The social, cultural and literary aspects of his ideology was discussed with special reference to the dynamics of the widow marriage issue.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Dr. Lahiri’s speech made a pitch on critiquing the traditional modernizer roles of Vidyasagar and raised the gender questions embedded in his reform agenda. This discourse was also examined in the light of views expressed by Sumit Sarkar and Tanika Sarkar edited Women and Social Reform in Modern India. How public opinions are formed and reinforced, fractured or pluralized </w:t>
      </w:r>
      <w:r w:rsidDel="00000000" w:rsidR="00000000" w:rsidRPr="00000000">
        <w:rPr>
          <w:rFonts w:ascii="Times New Roman" w:cs="Times New Roman" w:eastAsia="Times New Roman" w:hAnsi="Times New Roman"/>
          <w:color w:val="333333"/>
          <w:sz w:val="24"/>
          <w:szCs w:val="24"/>
          <w:highlight w:val="white"/>
          <w:rtl w:val="0"/>
        </w:rPr>
        <w:t xml:space="preserve">from the rule of prescriptive texts. The students were acquainted with new research on Vidyasagar and the controversies on the gender approach</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0E">
      <w:pPr>
        <w:jc w:val="both"/>
        <w:rPr/>
      </w:pPr>
      <w:r w:rsidDel="00000000" w:rsidR="00000000" w:rsidRPr="00000000">
        <w:rPr/>
        <w:drawing>
          <wp:inline distB="0" distT="0" distL="0" distR="0">
            <wp:extent cx="2071688" cy="2815156"/>
            <wp:effectExtent b="0" l="0" r="0" t="0"/>
            <wp:docPr id="43491758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1688" cy="2815156"/>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6FA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Name" w:customStyle="1">
    <w:name w:val="Inside Address Name"/>
    <w:basedOn w:val="Normal"/>
    <w:rsid w:val="00416FAA"/>
    <w:pPr>
      <w:spacing w:after="0" w:line="240" w:lineRule="auto"/>
    </w:pPr>
    <w:rPr>
      <w:rFonts w:ascii="Times New Roman" w:cs="Times New Roman" w:eastAsia="Times New Roman" w:hAnsi="Times New Roman"/>
      <w:kern w:val="0"/>
      <w:sz w:val="24"/>
      <w:szCs w:val="24"/>
      <w:lang w:val="en-US"/>
    </w:rPr>
  </w:style>
  <w:style w:type="character" w:styleId="Strong">
    <w:name w:val="Strong"/>
    <w:basedOn w:val="DefaultParagraphFont"/>
    <w:uiPriority w:val="22"/>
    <w:qFormat w:val="1"/>
    <w:rsid w:val="00416FA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xWLvWm1HmWCnUaQBTSclyzeQ==">CgMxLjA4AHIhMUk0eVlPbGlNMjNsTFUwLWM4MnhnUmhaaTlGcThWSHV3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2024-01-21T16:16:00Z</dcterms:created>
  <dc:creator>KC_SM</dc:creator>
</cp:coreProperties>
</file>